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t xml:space="preserve"/>
      </w:r>
    </w:p>
    <w:p>
      <w:pPr>
        <w:spacing w:after="80" w:before="0"/>
        <w:jc w:val="center"/>
      </w:pPr>
      <w:r>
        <w:rPr>
          <w:rFonts w:ascii="Georgia" w:cs="Georgia" w:eastAsia="Georgia" w:hAnsi="Georgia"/>
          <w:b/>
          <w:bCs/>
          <w:color w:val="2D5FA6"/>
          <w:sz w:val="64"/>
          <w:szCs w:val="64"/>
        </w:rPr>
        <w:t xml:space="preserve">TNP WELLNESS</w:t>
      </w:r>
    </w:p>
    <w:p>
      <w:pPr>
        <w:spacing w:after="60" w:before="0"/>
        <w:jc w:val="center"/>
      </w:pPr>
      <w:r>
        <w:rPr>
          <w:rFonts w:ascii="Georgia" w:cs="Georgia" w:eastAsia="Georgia" w:hAnsi="Georgia"/>
          <w:i/>
          <w:iCs/>
          <w:color w:val="E8566A"/>
          <w:sz w:val="40"/>
          <w:szCs w:val="40"/>
        </w:rPr>
        <w:t xml:space="preserve">Program Catalog</w:t>
      </w:r>
    </w:p>
    <w:p>
      <w:pPr>
        <w:spacing w:after="0" w:before="0"/>
        <w:jc w:val="center"/>
      </w:pPr>
      <w:r>
        <w:rPr>
          <w:rFonts w:ascii="Calibri" w:cs="Calibri" w:eastAsia="Calibri" w:hAnsi="Calibri"/>
          <w:color w:val="555555"/>
          <w:sz w:val="24"/>
          <w:szCs w:val="24"/>
        </w:rPr>
        <w:t xml:space="preserve">For Schools &amp; Community Partners</w:t>
      </w:r>
    </w:p>
    <w:p>
      <w:pPr>
        <w:spacing w:after="0" w:before="80"/>
      </w:pPr>
      <w:r>
        <w:t xml:space="preserve"/>
      </w:r>
    </w:p>
    <w:p>
      <w:pPr>
        <w:pBdr>
          <w:top w:val="single" w:color="E8566A" w:sz="4" w:space="0"/>
          <w:bottom w:val="single" w:color="E8566A" w:sz="4" w:space="0"/>
        </w:pBdr>
        <w:spacing w:after="0" w:before="0"/>
        <w:jc w:val="center"/>
      </w:pPr>
      <w:r>
        <w:rPr>
          <w:rFonts w:ascii="Calibri" w:cs="Calibri" w:eastAsia="Calibri" w:hAnsi="Calibri"/>
          <w:i/>
          <w:iCs/>
          <w:color w:val="2D5FA6"/>
          <w:sz w:val="20"/>
          <w:szCs w:val="20"/>
        </w:rPr>
        <w:t xml:space="preserve">Mindfulness  ·  Leadership  ·  Educator Support  ·  Nutrition  ·  DEI  ·  Movement</w:t>
      </w:r>
    </w:p>
    <w:p>
      <w:pPr>
        <w:spacing w:after="0" w:before="300"/>
      </w:pPr>
      <w:r>
        <w:t xml:space="preserve"/>
      </w:r>
    </w:p>
    <w:p>
      <w:pPr>
        <w:spacing w:after="80" w:before="0"/>
        <w:jc w:val="center"/>
      </w:pPr>
      <w:r>
        <w:rPr>
          <w:rFonts w:ascii="Georgia" w:cs="Georgia" w:eastAsia="Georgia" w:hAnsi="Georgia"/>
          <w:b/>
          <w:bCs/>
          <w:color w:val="2D5FA6"/>
          <w:sz w:val="28"/>
          <w:szCs w:val="28"/>
        </w:rPr>
        <w:t xml:space="preserve">How to Use This Catalog</w:t>
      </w:r>
    </w:p>
    <w:p>
      <w:pPr>
        <w:spacing w:after="200" w:before="0"/>
        <w:jc w:val="center"/>
      </w:pPr>
      <w:r>
        <w:rPr>
          <w:rFonts w:ascii="Calibri" w:cs="Calibri" w:eastAsia="Calibri" w:hAnsi="Calibri"/>
          <w:color w:val="555555"/>
          <w:sz w:val="21"/>
          <w:szCs w:val="21"/>
        </w:rPr>
        <w:t xml:space="preserve">Browse our offerings below and reach out to book any combination of sessions for your school or organization. Catalog numbers indicate a suggested progression for building a series — no prior experience is required for any session. All sessions are available in person or virtually unless marked In-Person Only.</w:t>
      </w:r>
    </w:p>
    <w:p>
      <w:pPr>
        <w:pBdr>
          <w:bottom w:val="single" w:color="DDDDDD" w:sz="2" w:space="1"/>
        </w:pBdr>
        <w:spacing w:after="200" w:before="200"/>
      </w:pPr>
      <w:r>
        <w:t xml:space="preserve"/>
      </w:r>
    </w:p>
    <w:p>
      <w:pPr>
        <w:pBdr>
          <w:bottom w:val="single" w:color="E8566A" w:sz="6" w:space="6"/>
        </w:pBdr>
        <w:spacing w:after="80" w:before="360"/>
      </w:pPr>
      <w:r>
        <w:rPr>
          <w:rFonts w:ascii="Georgia" w:cs="Georgia" w:eastAsia="Georgia" w:hAnsi="Georgia"/>
          <w:b/>
          <w:bCs/>
          <w:color w:val="2D5FA6"/>
          <w:sz w:val="28"/>
          <w:szCs w:val="28"/>
        </w:rPr>
        <w:t xml:space="preserve">ADULT WELLNESS</w:t>
      </w:r>
    </w:p>
    <w:p>
      <w:pPr>
        <w:spacing w:after="0" w:before="60"/>
      </w:pPr>
      <w:r>
        <w:t xml:space="preserve"/>
      </w:r>
    </w:p>
    <w:p>
      <w:pPr>
        <w:spacing w:after="60" w:before="240"/>
      </w:pPr>
      <w:r>
        <w:rPr>
          <w:rFonts w:ascii="Georgia" w:cs="Georgia" w:eastAsia="Georgia" w:hAnsi="Georgia"/>
          <w:b/>
          <w:bCs/>
          <w:color w:val="E8566A"/>
          <w:sz w:val="22"/>
          <w:szCs w:val="22"/>
        </w:rPr>
        <w:t xml:space="preserve">AW 101  </w:t>
      </w:r>
      <w:r>
        <w:rPr>
          <w:rFonts w:ascii="Georgia" w:cs="Georgia" w:eastAsia="Georgia" w:hAnsi="Georgia"/>
          <w:b/>
          <w:bCs/>
          <w:i/>
          <w:iCs/>
          <w:color w:val="333333"/>
          <w:sz w:val="22"/>
          <w:szCs w:val="22"/>
        </w:rPr>
        <w:t xml:space="preserve">Mindfulness Applications for Work and Home</w:t>
      </w:r>
    </w:p>
    <w:p>
      <w:pPr>
        <w:spacing w:after="100" w:before="60"/>
      </w:pPr>
      <w:r>
        <w:rPr>
          <w:rFonts w:ascii="Calibri" w:cs="Calibri" w:eastAsia="Calibri" w:hAnsi="Calibri"/>
          <w:color w:val="555555"/>
          <w:sz w:val="21"/>
          <w:szCs w:val="21"/>
        </w:rPr>
        <w:t xml:space="preserve">Our most popular session — and the ideal starting point for any team. Participants explore how trauma affects physical and mental health, learn the science of nervous system regulation, and gain a shared language for talking about wellness at work and at home.</w:t>
      </w:r>
    </w:p>
    <w:p>
      <w:pPr>
        <w:spacing w:after="100" w:before="60"/>
      </w:pPr>
      <w:r>
        <w:rPr>
          <w:rFonts w:ascii="Calibri" w:cs="Calibri" w:eastAsia="Calibri" w:hAnsi="Calibri"/>
          <w:color w:val="555555"/>
          <w:sz w:val="21"/>
          <w:szCs w:val="21"/>
        </w:rPr>
        <w:t xml:space="preserve">By leading with the 'why,' this session ensures that tools and practices are embraced as genuine supports rather than performance requirements — fostering lasting engagement and receptivity across your staff.</w:t>
      </w:r>
    </w:p>
    <w:p>
      <w:pPr>
        <w:spacing w:after="80" w:before="60"/>
      </w:pPr>
      <w:r>
        <w:rPr>
          <w:rFonts w:ascii="Calibri" w:cs="Calibri" w:eastAsia="Calibri" w:hAnsi="Calibri"/>
          <w:b/>
          <w:bCs/>
          <w:i/>
          <w:iCs/>
          <w:color w:val="E8566A"/>
          <w:sz w:val="20"/>
          <w:szCs w:val="20"/>
        </w:rPr>
        <w:t xml:space="preserve">Best for: All staff, organization-wide kickoffs, new wellness initiatives</w:t>
      </w:r>
    </w:p>
    <w:p>
      <w:pPr>
        <w:spacing w:after="0" w:before="80"/>
      </w:pPr>
      <w:r>
        <w:t xml:space="preserve"/>
      </w:r>
    </w:p>
    <w:p>
      <w:pPr>
        <w:spacing w:after="60" w:before="240"/>
      </w:pPr>
      <w:r>
        <w:rPr>
          <w:rFonts w:ascii="Georgia" w:cs="Georgia" w:eastAsia="Georgia" w:hAnsi="Georgia"/>
          <w:b/>
          <w:bCs/>
          <w:color w:val="E8566A"/>
          <w:sz w:val="22"/>
          <w:szCs w:val="22"/>
        </w:rPr>
        <w:t xml:space="preserve">AW 102  </w:t>
      </w:r>
      <w:r>
        <w:rPr>
          <w:rFonts w:ascii="Georgia" w:cs="Georgia" w:eastAsia="Georgia" w:hAnsi="Georgia"/>
          <w:b/>
          <w:bCs/>
          <w:i/>
          <w:iCs/>
          <w:color w:val="333333"/>
          <w:sz w:val="22"/>
          <w:szCs w:val="22"/>
        </w:rPr>
        <w:t xml:space="preserve">Tools for Trauma-Informed Workspaces</w:t>
      </w:r>
    </w:p>
    <w:p>
      <w:pPr>
        <w:spacing w:after="100" w:before="60"/>
      </w:pPr>
      <w:r>
        <w:rPr>
          <w:rFonts w:ascii="Calibri" w:cs="Calibri" w:eastAsia="Calibri" w:hAnsi="Calibri"/>
          <w:color w:val="555555"/>
          <w:sz w:val="21"/>
          <w:szCs w:val="21"/>
        </w:rPr>
        <w:t xml:space="preserve">Ready to go deeper? This hands-on workshop equips participants with more than two dozen practical tools to up- and down-regulate the nervous system. Over 70% of adults have experienced trauma — and the dysregulation it causes contributes to many of the mental and physical health challenges workplaces face today.</w:t>
      </w:r>
    </w:p>
    <w:p>
      <w:pPr>
        <w:spacing w:after="100" w:before="60"/>
      </w:pPr>
      <w:r>
        <w:rPr>
          <w:rFonts w:ascii="Calibri" w:cs="Calibri" w:eastAsia="Calibri" w:hAnsi="Calibri"/>
          <w:color w:val="555555"/>
          <w:sz w:val="21"/>
          <w:szCs w:val="21"/>
        </w:rPr>
        <w:t xml:space="preserve">Participants leave with access to a video library so they can continue practicing long after the workshop ends.</w:t>
      </w:r>
    </w:p>
    <w:p>
      <w:pPr>
        <w:spacing w:after="80" w:before="60"/>
      </w:pPr>
      <w:r>
        <w:rPr>
          <w:rFonts w:ascii="Calibri" w:cs="Calibri" w:eastAsia="Calibri" w:hAnsi="Calibri"/>
          <w:b/>
          <w:bCs/>
          <w:i/>
          <w:iCs/>
          <w:color w:val="E8566A"/>
          <w:sz w:val="20"/>
          <w:szCs w:val="20"/>
        </w:rPr>
        <w:t xml:space="preserve">Best for: Teams with existing wellness knowledge, follow-up to AW 101</w:t>
      </w:r>
    </w:p>
    <w:p>
      <w:pPr>
        <w:spacing w:after="0" w:before="80"/>
      </w:pPr>
      <w:r>
        <w:t xml:space="preserve"/>
      </w:r>
    </w:p>
    <w:p>
      <w:pPr>
        <w:spacing w:after="60" w:before="240"/>
      </w:pPr>
      <w:r>
        <w:rPr>
          <w:rFonts w:ascii="Georgia" w:cs="Georgia" w:eastAsia="Georgia" w:hAnsi="Georgia"/>
          <w:b/>
          <w:bCs/>
          <w:color w:val="E8566A"/>
          <w:sz w:val="22"/>
          <w:szCs w:val="22"/>
        </w:rPr>
        <w:t xml:space="preserve">AW 103  </w:t>
      </w:r>
      <w:r>
        <w:rPr>
          <w:rFonts w:ascii="Georgia" w:cs="Georgia" w:eastAsia="Georgia" w:hAnsi="Georgia"/>
          <w:b/>
          <w:bCs/>
          <w:i/>
          <w:iCs/>
          <w:color w:val="333333"/>
          <w:sz w:val="22"/>
          <w:szCs w:val="22"/>
        </w:rPr>
        <w:t xml:space="preserve">The Impact of Stress on Physical Health</w:t>
      </w:r>
    </w:p>
    <w:p>
      <w:pPr>
        <w:spacing w:after="100" w:before="60"/>
      </w:pPr>
      <w:r>
        <w:rPr>
          <w:rFonts w:ascii="Calibri" w:cs="Calibri" w:eastAsia="Calibri" w:hAnsi="Calibri"/>
          <w:color w:val="555555"/>
          <w:sz w:val="21"/>
          <w:szCs w:val="21"/>
        </w:rPr>
        <w:t xml:space="preserve">A uniquely experiential session — </w:t>
      </w:r>
      <w:r>
        <w:rPr>
          <w:rFonts w:ascii="Calibri" w:cs="Calibri" w:eastAsia="Calibri" w:hAnsi="Calibri"/>
          <w:b/>
          <w:bCs/>
          <w:color w:val="E8566A"/>
          <w:sz w:val="21"/>
          <w:szCs w:val="21"/>
        </w:rPr>
        <w:t xml:space="preserve">available in person only</w:t>
      </w:r>
      <w:r>
        <w:rPr>
          <w:rFonts w:ascii="Calibri" w:cs="Calibri" w:eastAsia="Calibri" w:hAnsi="Calibri"/>
          <w:color w:val="555555"/>
          <w:sz w:val="21"/>
          <w:szCs w:val="21"/>
        </w:rPr>
        <w:t xml:space="preserve"> — that uses heart rate monitors to make the science of stress visible in real time. Participants identify their personal stressors, understand how those stressors affect themselves and those around them, and gain tools for self-correction and emotional management.</w:t>
      </w:r>
    </w:p>
    <w:p>
      <w:pPr>
        <w:spacing w:after="80" w:before="60"/>
      </w:pPr>
      <w:r>
        <w:rPr>
          <w:rFonts w:ascii="Calibri" w:cs="Calibri" w:eastAsia="Calibri" w:hAnsi="Calibri"/>
          <w:b/>
          <w:bCs/>
          <w:i/>
          <w:iCs/>
          <w:color w:val="E8566A"/>
          <w:sz w:val="20"/>
          <w:szCs w:val="20"/>
        </w:rPr>
        <w:t xml:space="preserve">Best for: Engaged teams ready for immersive, data-driven learning</w:t>
      </w:r>
    </w:p>
    <w:p>
      <w:pPr>
        <w:pBdr>
          <w:bottom w:val="single" w:color="DDDDDD" w:sz="2" w:space="1"/>
        </w:pBdr>
        <w:spacing w:after="200" w:before="200"/>
      </w:pPr>
      <w:r>
        <w:t xml:space="preserve"/>
      </w:r>
    </w:p>
    <w:p>
      <w:pPr>
        <w:pBdr>
          <w:bottom w:val="single" w:color="E8566A" w:sz="6" w:space="6"/>
        </w:pBdr>
        <w:spacing w:after="80" w:before="360"/>
      </w:pPr>
      <w:r>
        <w:rPr>
          <w:rFonts w:ascii="Georgia" w:cs="Georgia" w:eastAsia="Georgia" w:hAnsi="Georgia"/>
          <w:b/>
          <w:bCs/>
          <w:color w:val="2D5FA6"/>
          <w:sz w:val="28"/>
          <w:szCs w:val="28"/>
        </w:rPr>
        <w:t xml:space="preserve">MINDFUL LEADERSHIP</w:t>
      </w:r>
    </w:p>
    <w:p>
      <w:pPr>
        <w:spacing w:after="0" w:before="60"/>
      </w:pPr>
      <w:r>
        <w:t xml:space="preserve"/>
      </w:r>
    </w:p>
    <w:p>
      <w:pPr>
        <w:spacing w:after="120" w:before="60"/>
      </w:pPr>
      <w:r>
        <w:rPr>
          <w:rFonts w:ascii="Georgia" w:cs="Georgia" w:eastAsia="Georgia" w:hAnsi="Georgia"/>
          <w:b/>
          <w:bCs/>
          <w:color w:val="2D5FA6"/>
          <w:sz w:val="23"/>
          <w:szCs w:val="23"/>
        </w:rPr>
        <w:t xml:space="preserve">Why invest in mindful leadership?</w:t>
      </w:r>
    </w:p>
    <w:tbl>
      <w:tblPr>
        <w:tblW w:type="dxa" w:w="9360"/>
        <w:tblBorders>
          <w:top w:val="none"/>
          <w:left w:val="none"/>
          <w:bottom w:val="none"/>
          <w:right w:val="none"/>
          <w:insideH w:val="single" w:color="auto" w:sz="4"/>
          <w:insideV w:val="single" w:color="auto" w:sz="4"/>
        </w:tblBorders>
      </w:tblPr>
      <w:tblGrid>
        <w:gridCol w:w="2340"/>
        <w:gridCol w:w="2340"/>
        <w:gridCol w:w="2340"/>
        <w:gridCol w:w="2340"/>
      </w:tblGrid>
      <w:tr>
        <w:tc>
          <w:tcPr>
            <w:tcW w:type="dxa" w:w="2340"/>
            <w:tcBorders>
              <w:top w:val="none"/>
              <w:left w:val="none"/>
              <w:bottom w:val="none"/>
              <w:right w:val="none"/>
            </w:tcBorders>
            <w:shd w:fill="FDF0F2" w:val="clear"/>
            <w:tcMar>
              <w:top w:type="dxa" w:w="120"/>
              <w:left w:type="dxa" w:w="160"/>
              <w:bottom w:type="dxa" w:w="120"/>
              <w:right w:type="dxa" w:w="160"/>
            </w:tcMar>
          </w:tcPr>
          <w:p>
            <w:pPr>
              <w:spacing w:after="40" w:before="0"/>
              <w:jc w:val="center"/>
            </w:pPr>
            <w:r>
              <w:rPr>
                <w:rFonts w:ascii="Georgia" w:cs="Georgia" w:eastAsia="Georgia" w:hAnsi="Georgia"/>
                <w:b/>
                <w:bCs/>
                <w:color w:val="E8566A"/>
                <w:sz w:val="36"/>
                <w:szCs w:val="36"/>
              </w:rPr>
              <w:t xml:space="preserve">87%</w:t>
            </w:r>
          </w:p>
          <w:p>
            <w:pPr>
              <w:spacing w:after="0" w:before="0"/>
              <w:jc w:val="center"/>
            </w:pPr>
            <w:r>
              <w:rPr>
                <w:rFonts w:ascii="Calibri" w:cs="Calibri" w:eastAsia="Calibri" w:hAnsi="Calibri"/>
                <w:color w:val="555555"/>
                <w:sz w:val="17"/>
                <w:szCs w:val="17"/>
              </w:rPr>
              <w:t xml:space="preserve">of employees prioritize mental health &amp; wellbeing</w:t>
            </w:r>
          </w:p>
        </w:tc>
        <w:tc>
          <w:tcPr>
            <w:tcW w:type="dxa" w:w="2340"/>
            <w:tcBorders>
              <w:top w:val="none"/>
              <w:left w:val="none"/>
              <w:bottom w:val="none"/>
              <w:right w:val="none"/>
            </w:tcBorders>
            <w:shd w:fill="FDF0F2" w:val="clear"/>
            <w:tcMar>
              <w:top w:type="dxa" w:w="120"/>
              <w:left w:type="dxa" w:w="160"/>
              <w:bottom w:type="dxa" w:w="120"/>
              <w:right w:type="dxa" w:w="160"/>
            </w:tcMar>
          </w:tcPr>
          <w:p>
            <w:pPr>
              <w:spacing w:after="40" w:before="0"/>
              <w:jc w:val="center"/>
            </w:pPr>
            <w:r>
              <w:rPr>
                <w:rFonts w:ascii="Georgia" w:cs="Georgia" w:eastAsia="Georgia" w:hAnsi="Georgia"/>
                <w:b/>
                <w:bCs/>
                <w:color w:val="E8566A"/>
                <w:sz w:val="36"/>
                <w:szCs w:val="36"/>
              </w:rPr>
              <w:t xml:space="preserve">76%</w:t>
            </w:r>
          </w:p>
          <w:p>
            <w:pPr>
              <w:spacing w:after="0" w:before="0"/>
              <w:jc w:val="center"/>
            </w:pPr>
            <w:r>
              <w:rPr>
                <w:rFonts w:ascii="Calibri" w:cs="Calibri" w:eastAsia="Calibri" w:hAnsi="Calibri"/>
                <w:color w:val="555555"/>
                <w:sz w:val="17"/>
                <w:szCs w:val="17"/>
              </w:rPr>
              <w:t xml:space="preserve">report workplace stress affecting mental health</w:t>
            </w:r>
          </w:p>
        </w:tc>
        <w:tc>
          <w:tcPr>
            <w:tcW w:type="dxa" w:w="2340"/>
            <w:tcBorders>
              <w:top w:val="none"/>
              <w:left w:val="none"/>
              <w:bottom w:val="none"/>
              <w:right w:val="none"/>
            </w:tcBorders>
            <w:shd w:fill="FDF0F2" w:val="clear"/>
            <w:tcMar>
              <w:top w:type="dxa" w:w="120"/>
              <w:left w:type="dxa" w:w="160"/>
              <w:bottom w:type="dxa" w:w="120"/>
              <w:right w:type="dxa" w:w="160"/>
            </w:tcMar>
          </w:tcPr>
          <w:p>
            <w:pPr>
              <w:spacing w:after="40" w:before="0"/>
              <w:jc w:val="center"/>
            </w:pPr>
            <w:r>
              <w:rPr>
                <w:rFonts w:ascii="Georgia" w:cs="Georgia" w:eastAsia="Georgia" w:hAnsi="Georgia"/>
                <w:b/>
                <w:bCs/>
                <w:color w:val="E8566A"/>
                <w:sz w:val="36"/>
                <w:szCs w:val="36"/>
              </w:rPr>
              <w:t xml:space="preserve">91%</w:t>
            </w:r>
          </w:p>
          <w:p>
            <w:pPr>
              <w:spacing w:after="0" w:before="0"/>
              <w:jc w:val="center"/>
            </w:pPr>
            <w:r>
              <w:rPr>
                <w:rFonts w:ascii="Calibri" w:cs="Calibri" w:eastAsia="Calibri" w:hAnsi="Calibri"/>
                <w:color w:val="555555"/>
                <w:sz w:val="17"/>
                <w:szCs w:val="17"/>
              </w:rPr>
              <w:t xml:space="preserve">believe better mental health boosts productivity</w:t>
            </w:r>
          </w:p>
        </w:tc>
        <w:tc>
          <w:tcPr>
            <w:tcW w:type="dxa" w:w="2340"/>
            <w:tcBorders>
              <w:top w:val="none"/>
              <w:left w:val="none"/>
              <w:bottom w:val="none"/>
              <w:right w:val="none"/>
            </w:tcBorders>
            <w:shd w:fill="FDF0F2" w:val="clear"/>
            <w:tcMar>
              <w:top w:type="dxa" w:w="120"/>
              <w:left w:type="dxa" w:w="160"/>
              <w:bottom w:type="dxa" w:w="120"/>
              <w:right w:type="dxa" w:w="160"/>
            </w:tcMar>
          </w:tcPr>
          <w:p>
            <w:pPr>
              <w:spacing w:after="40" w:before="0"/>
              <w:jc w:val="center"/>
            </w:pPr>
            <w:r>
              <w:rPr>
                <w:rFonts w:ascii="Georgia" w:cs="Georgia" w:eastAsia="Georgia" w:hAnsi="Georgia"/>
                <w:b/>
                <w:bCs/>
                <w:color w:val="E8566A"/>
                <w:sz w:val="36"/>
                <w:szCs w:val="36"/>
              </w:rPr>
              <w:t xml:space="preserve">77%</w:t>
            </w:r>
          </w:p>
          <w:p>
            <w:pPr>
              <w:spacing w:after="0" w:before="0"/>
              <w:jc w:val="center"/>
            </w:pPr>
            <w:r>
              <w:rPr>
                <w:rFonts w:ascii="Calibri" w:cs="Calibri" w:eastAsia="Calibri" w:hAnsi="Calibri"/>
                <w:color w:val="555555"/>
                <w:sz w:val="17"/>
                <w:szCs w:val="17"/>
              </w:rPr>
              <w:t xml:space="preserve">have experienced burnout</w:t>
            </w:r>
          </w:p>
        </w:tc>
      </w:tr>
    </w:tbl>
    <w:p>
      <w:pPr>
        <w:spacing w:after="0" w:before="160"/>
      </w:pPr>
      <w:r>
        <w:t xml:space="preserve"/>
      </w:r>
    </w:p>
    <w:p>
      <w:pPr>
        <w:spacing w:after="60" w:before="240"/>
      </w:pPr>
      <w:r>
        <w:rPr>
          <w:rFonts w:ascii="Georgia" w:cs="Georgia" w:eastAsia="Georgia" w:hAnsi="Georgia"/>
          <w:b/>
          <w:bCs/>
          <w:color w:val="E8566A"/>
          <w:sz w:val="22"/>
          <w:szCs w:val="22"/>
        </w:rPr>
        <w:t xml:space="preserve">ML 101  </w:t>
      </w:r>
      <w:r>
        <w:rPr>
          <w:rFonts w:ascii="Georgia" w:cs="Georgia" w:eastAsia="Georgia" w:hAnsi="Georgia"/>
          <w:b/>
          <w:bCs/>
          <w:i/>
          <w:iCs/>
          <w:color w:val="333333"/>
          <w:sz w:val="22"/>
          <w:szCs w:val="22"/>
        </w:rPr>
        <w:t xml:space="preserve">Empathetic Leadership</w:t>
      </w:r>
    </w:p>
    <w:p>
      <w:pPr>
        <w:spacing w:after="100" w:before="60"/>
      </w:pPr>
      <w:r>
        <w:rPr>
          <w:rFonts w:ascii="Calibri" w:cs="Calibri" w:eastAsia="Calibri" w:hAnsi="Calibri"/>
          <w:color w:val="555555"/>
          <w:sz w:val="21"/>
          <w:szCs w:val="21"/>
        </w:rPr>
        <w:t xml:space="preserve">Designed specifically for leaders, this workshop explores trauma-informed communication and its profound influence on empathy, compassion, and team cohesion. Becoming an empathetic leader benefits not only direct reports — it significantly improves managers' own satisfaction and sense of purpose.</w:t>
      </w:r>
    </w:p>
    <w:p>
      <w:pPr>
        <w:spacing w:after="100" w:before="60"/>
      </w:pPr>
      <w:r>
        <w:rPr>
          <w:rFonts w:ascii="Calibri" w:cs="Calibri" w:eastAsia="Calibri" w:hAnsi="Calibri"/>
          <w:color w:val="555555"/>
          <w:sz w:val="21"/>
          <w:szCs w:val="21"/>
        </w:rPr>
        <w:t xml:space="preserve">Participants engage in interactive exercises to build empathetic leadership skills and leave ready to apply mindful collaboration strategies immediately.</w:t>
      </w:r>
    </w:p>
    <w:p>
      <w:pPr>
        <w:spacing w:after="0" w:before="80"/>
      </w:pPr>
      <w:r>
        <w:t xml:space="preserve"/>
      </w:r>
    </w:p>
    <w:p>
      <w:pPr>
        <w:spacing w:after="60" w:before="240"/>
      </w:pPr>
      <w:r>
        <w:rPr>
          <w:rFonts w:ascii="Georgia" w:cs="Georgia" w:eastAsia="Georgia" w:hAnsi="Georgia"/>
          <w:b/>
          <w:bCs/>
          <w:color w:val="E8566A"/>
          <w:sz w:val="22"/>
          <w:szCs w:val="22"/>
        </w:rPr>
        <w:t xml:space="preserve">ML 102  </w:t>
      </w:r>
      <w:r>
        <w:rPr>
          <w:rFonts w:ascii="Georgia" w:cs="Georgia" w:eastAsia="Georgia" w:hAnsi="Georgia"/>
          <w:b/>
          <w:bCs/>
          <w:i/>
          <w:iCs/>
          <w:color w:val="333333"/>
          <w:sz w:val="22"/>
          <w:szCs w:val="22"/>
        </w:rPr>
        <w:t xml:space="preserve">A Mindful Approach to Work-Life Balance</w:t>
      </w:r>
    </w:p>
    <w:p>
      <w:pPr>
        <w:spacing w:after="100" w:before="60"/>
      </w:pPr>
      <w:r>
        <w:rPr>
          <w:rFonts w:ascii="Calibri" w:cs="Calibri" w:eastAsia="Calibri" w:hAnsi="Calibri"/>
          <w:color w:val="555555"/>
          <w:sz w:val="21"/>
          <w:szCs w:val="21"/>
        </w:rPr>
        <w:t xml:space="preserve">Participants uncover strategies for setting healthy boundaries around work, using technology responsibly, and protecting time for personal renewal. Collaborative goal-setting creates mutual accountability and a concrete path forward.</w:t>
      </w:r>
    </w:p>
    <w:p>
      <w:pPr>
        <w:spacing w:after="0" w:before="80"/>
      </w:pPr>
      <w:r>
        <w:t xml:space="preserve"/>
      </w:r>
    </w:p>
    <w:p>
      <w:pPr>
        <w:spacing w:after="60" w:before="240"/>
      </w:pPr>
      <w:r>
        <w:rPr>
          <w:rFonts w:ascii="Georgia" w:cs="Georgia" w:eastAsia="Georgia" w:hAnsi="Georgia"/>
          <w:b/>
          <w:bCs/>
          <w:color w:val="E8566A"/>
          <w:sz w:val="22"/>
          <w:szCs w:val="22"/>
        </w:rPr>
        <w:t xml:space="preserve">ML 103  </w:t>
      </w:r>
      <w:r>
        <w:rPr>
          <w:rFonts w:ascii="Georgia" w:cs="Georgia" w:eastAsia="Georgia" w:hAnsi="Georgia"/>
          <w:b/>
          <w:bCs/>
          <w:i/>
          <w:iCs/>
          <w:color w:val="333333"/>
          <w:sz w:val="22"/>
          <w:szCs w:val="22"/>
        </w:rPr>
        <w:t xml:space="preserve">Mindful Listening for Managers</w:t>
      </w:r>
    </w:p>
    <w:p>
      <w:pPr>
        <w:spacing w:after="100" w:before="60"/>
      </w:pPr>
      <w:r>
        <w:rPr>
          <w:rFonts w:ascii="Calibri" w:cs="Calibri" w:eastAsia="Calibri" w:hAnsi="Calibri"/>
          <w:color w:val="555555"/>
          <w:sz w:val="21"/>
          <w:szCs w:val="21"/>
        </w:rPr>
        <w:t xml:space="preserve">Exit interviews consistently reveal that staff don't feel heard, supported, or valued. This workshop teaches leaders to show up in ways that actually change that — through learning, discussion, and applied practice.</w:t>
      </w:r>
    </w:p>
    <w:p>
      <w:pPr>
        <w:spacing w:after="60" w:before="80"/>
      </w:pPr>
      <w:r>
        <w:rPr>
          <w:rFonts w:ascii="Calibri" w:cs="Calibri" w:eastAsia="Calibri" w:hAnsi="Calibri"/>
          <w:b/>
          <w:bCs/>
          <w:color w:val="333333"/>
          <w:sz w:val="21"/>
          <w:szCs w:val="21"/>
        </w:rPr>
        <w:t xml:space="preserve">Leaders learn to:</w:t>
      </w:r>
    </w:p>
    <w:p>
      <w:pPr>
        <w:pStyle w:val="ListParagraph"/>
        <w:numPr>
          <w:ilvl w:val="0"/>
          <w:numId w:val="2"/>
        </w:numPr>
        <w:spacing w:after="40" w:before="40"/>
      </w:pPr>
      <w:r>
        <w:rPr>
          <w:rFonts w:ascii="Calibri" w:cs="Calibri" w:eastAsia="Calibri" w:hAnsi="Calibri"/>
          <w:color w:val="555555"/>
          <w:sz w:val="20"/>
          <w:szCs w:val="20"/>
        </w:rPr>
        <w:t xml:space="preserve">Recognize dysregulation in themselves and others</w:t>
      </w:r>
    </w:p>
    <w:p>
      <w:pPr>
        <w:pStyle w:val="ListParagraph"/>
        <w:numPr>
          <w:ilvl w:val="0"/>
          <w:numId w:val="2"/>
        </w:numPr>
        <w:spacing w:after="40" w:before="40"/>
      </w:pPr>
      <w:r>
        <w:rPr>
          <w:rFonts w:ascii="Calibri" w:cs="Calibri" w:eastAsia="Calibri" w:hAnsi="Calibri"/>
          <w:color w:val="555555"/>
          <w:sz w:val="20"/>
          <w:szCs w:val="20"/>
        </w:rPr>
        <w:t xml:space="preserve">Develop tools for empathy and genuine connection</w:t>
      </w:r>
    </w:p>
    <w:p>
      <w:pPr>
        <w:pStyle w:val="ListParagraph"/>
        <w:numPr>
          <w:ilvl w:val="0"/>
          <w:numId w:val="2"/>
        </w:numPr>
        <w:spacing w:after="40" w:before="40"/>
      </w:pPr>
      <w:r>
        <w:rPr>
          <w:rFonts w:ascii="Calibri" w:cs="Calibri" w:eastAsia="Calibri" w:hAnsi="Calibri"/>
          <w:color w:val="555555"/>
          <w:sz w:val="20"/>
          <w:szCs w:val="20"/>
        </w:rPr>
        <w:t xml:space="preserve">Create healthier environments through mindful communication</w:t>
      </w:r>
    </w:p>
    <w:p>
      <w:pPr>
        <w:spacing w:after="0" w:before="80"/>
      </w:pPr>
      <w:r>
        <w:t xml:space="preserve"/>
      </w:r>
    </w:p>
    <w:p>
      <w:pPr>
        <w:spacing w:after="60" w:before="240"/>
      </w:pPr>
      <w:r>
        <w:rPr>
          <w:rFonts w:ascii="Georgia" w:cs="Georgia" w:eastAsia="Georgia" w:hAnsi="Georgia"/>
          <w:b/>
          <w:bCs/>
          <w:color w:val="E8566A"/>
          <w:sz w:val="22"/>
          <w:szCs w:val="22"/>
        </w:rPr>
        <w:t xml:space="preserve">ML 104  </w:t>
      </w:r>
      <w:r>
        <w:rPr>
          <w:rFonts w:ascii="Georgia" w:cs="Georgia" w:eastAsia="Georgia" w:hAnsi="Georgia"/>
          <w:b/>
          <w:bCs/>
          <w:i/>
          <w:iCs/>
          <w:color w:val="333333"/>
          <w:sz w:val="22"/>
          <w:szCs w:val="22"/>
        </w:rPr>
        <w:t xml:space="preserve">Transforming Wellness Spaces: From Timeout to Empowerment</w:t>
      </w:r>
    </w:p>
    <w:p>
      <w:pPr>
        <w:spacing w:after="100" w:before="60"/>
      </w:pPr>
      <w:r>
        <w:rPr>
          <w:rFonts w:ascii="Calibri" w:cs="Calibri" w:eastAsia="Calibri" w:hAnsi="Calibri"/>
          <w:color w:val="555555"/>
          <w:sz w:val="21"/>
          <w:szCs w:val="21"/>
        </w:rPr>
        <w:t xml:space="preserve">For leaders of meditation rooms, zen rooms, and other wellness spaces, this session covers the science of nervous system regulation and how to design environments that actively promote calm and balance.</w:t>
      </w:r>
    </w:p>
    <w:p>
      <w:pPr>
        <w:spacing w:after="100" w:before="60"/>
      </w:pPr>
      <w:r>
        <w:rPr>
          <w:rFonts w:ascii="Calibri" w:cs="Calibri" w:eastAsia="Calibri" w:hAnsi="Calibri"/>
          <w:color w:val="555555"/>
          <w:sz w:val="21"/>
          <w:szCs w:val="21"/>
        </w:rPr>
        <w:t xml:space="preserve">Participants also learn practical somatic techniques to guide adults — or support youth — in using the space for real regulation and skill-building.</w:t>
      </w:r>
    </w:p>
    <w:p>
      <w:pPr>
        <w:pBdr>
          <w:bottom w:val="single" w:color="DDDDDD" w:sz="2" w:space="1"/>
        </w:pBdr>
        <w:spacing w:after="200" w:before="200"/>
      </w:pPr>
      <w:r>
        <w:t xml:space="preserve"/>
      </w:r>
    </w:p>
    <w:p>
      <w:pPr>
        <w:pBdr>
          <w:bottom w:val="single" w:color="E8566A" w:sz="6" w:space="6"/>
        </w:pBdr>
        <w:spacing w:after="80" w:before="360"/>
      </w:pPr>
      <w:r>
        <w:rPr>
          <w:rFonts w:ascii="Georgia" w:cs="Georgia" w:eastAsia="Georgia" w:hAnsi="Georgia"/>
          <w:b/>
          <w:bCs/>
          <w:color w:val="2D5FA6"/>
          <w:sz w:val="28"/>
          <w:szCs w:val="28"/>
        </w:rPr>
        <w:t xml:space="preserve">EDUCATOR WELLNESS</w:t>
      </w:r>
    </w:p>
    <w:p>
      <w:pPr>
        <w:spacing w:after="0" w:before="60"/>
      </w:pPr>
      <w:r>
        <w:t xml:space="preserve"/>
      </w:r>
    </w:p>
    <w:p>
      <w:pPr>
        <w:spacing w:after="60" w:before="240"/>
      </w:pPr>
      <w:r>
        <w:rPr>
          <w:rFonts w:ascii="Georgia" w:cs="Georgia" w:eastAsia="Georgia" w:hAnsi="Georgia"/>
          <w:b/>
          <w:bCs/>
          <w:color w:val="E8566A"/>
          <w:sz w:val="22"/>
          <w:szCs w:val="22"/>
        </w:rPr>
        <w:t xml:space="preserve">EW 101  </w:t>
      </w:r>
      <w:r>
        <w:rPr>
          <w:rFonts w:ascii="Georgia" w:cs="Georgia" w:eastAsia="Georgia" w:hAnsi="Georgia"/>
          <w:b/>
          <w:bCs/>
          <w:i/>
          <w:iCs/>
          <w:color w:val="333333"/>
          <w:sz w:val="22"/>
          <w:szCs w:val="22"/>
        </w:rPr>
        <w:t xml:space="preserve">From Overwhelmed to Resilience</w:t>
      </w:r>
    </w:p>
    <w:p>
      <w:pPr>
        <w:spacing w:after="100" w:before="60"/>
      </w:pPr>
      <w:r>
        <w:rPr>
          <w:rFonts w:ascii="Calibri" w:cs="Calibri" w:eastAsia="Calibri" w:hAnsi="Calibri"/>
          <w:color w:val="555555"/>
          <w:sz w:val="21"/>
          <w:szCs w:val="21"/>
        </w:rPr>
        <w:t xml:space="preserve">Understanding how the nervous system shapes our capacity for resilience and joy is essential to teacher retention. This session gives educators a new lens on their work — and on themselves.</w:t>
      </w:r>
    </w:p>
    <w:p>
      <w:pPr>
        <w:spacing w:after="60" w:before="80"/>
      </w:pPr>
      <w:r>
        <w:rPr>
          <w:rFonts w:ascii="Calibri" w:cs="Calibri" w:eastAsia="Calibri" w:hAnsi="Calibri"/>
          <w:b/>
          <w:bCs/>
          <w:color w:val="333333"/>
          <w:sz w:val="21"/>
          <w:szCs w:val="21"/>
        </w:rPr>
        <w:t xml:space="preserve">Educators leave knowing how to:</w:t>
      </w:r>
    </w:p>
    <w:p>
      <w:pPr>
        <w:pStyle w:val="ListParagraph"/>
        <w:numPr>
          <w:ilvl w:val="0"/>
          <w:numId w:val="2"/>
        </w:numPr>
        <w:spacing w:after="40" w:before="40"/>
      </w:pPr>
      <w:r>
        <w:rPr>
          <w:rFonts w:ascii="Calibri" w:cs="Calibri" w:eastAsia="Calibri" w:hAnsi="Calibri"/>
          <w:color w:val="555555"/>
          <w:sz w:val="20"/>
          <w:szCs w:val="20"/>
        </w:rPr>
        <w:t xml:space="preserve">Identify the 3 core needs of every human — and how to meet them</w:t>
      </w:r>
    </w:p>
    <w:p>
      <w:pPr>
        <w:pStyle w:val="ListParagraph"/>
        <w:numPr>
          <w:ilvl w:val="0"/>
          <w:numId w:val="2"/>
        </w:numPr>
        <w:spacing w:after="40" w:before="40"/>
      </w:pPr>
      <w:r>
        <w:rPr>
          <w:rFonts w:ascii="Calibri" w:cs="Calibri" w:eastAsia="Calibri" w:hAnsi="Calibri"/>
          <w:color w:val="555555"/>
          <w:sz w:val="20"/>
          <w:szCs w:val="20"/>
        </w:rPr>
        <w:t xml:space="preserve">Recognize the difference between reacting and responding</w:t>
      </w:r>
    </w:p>
    <w:p>
      <w:pPr>
        <w:pStyle w:val="ListParagraph"/>
        <w:numPr>
          <w:ilvl w:val="0"/>
          <w:numId w:val="2"/>
        </w:numPr>
        <w:spacing w:after="40" w:before="40"/>
      </w:pPr>
      <w:r>
        <w:rPr>
          <w:rFonts w:ascii="Calibri" w:cs="Calibri" w:eastAsia="Calibri" w:hAnsi="Calibri"/>
          <w:color w:val="555555"/>
          <w:sz w:val="20"/>
          <w:szCs w:val="20"/>
        </w:rPr>
        <w:t xml:space="preserve">Reframe behavioral challenges with greater perspective</w:t>
      </w:r>
    </w:p>
    <w:p>
      <w:pPr>
        <w:pStyle w:val="ListParagraph"/>
        <w:numPr>
          <w:ilvl w:val="0"/>
          <w:numId w:val="2"/>
        </w:numPr>
        <w:spacing w:after="40" w:before="40"/>
      </w:pPr>
      <w:r>
        <w:rPr>
          <w:rFonts w:ascii="Calibri" w:cs="Calibri" w:eastAsia="Calibri" w:hAnsi="Calibri"/>
          <w:color w:val="555555"/>
          <w:sz w:val="20"/>
          <w:szCs w:val="20"/>
        </w:rPr>
        <w:t xml:space="preserve">Embrace imperfection and lean into the power of repair</w:t>
      </w:r>
    </w:p>
    <w:p>
      <w:pPr>
        <w:pStyle w:val="ListParagraph"/>
        <w:numPr>
          <w:ilvl w:val="0"/>
          <w:numId w:val="2"/>
        </w:numPr>
        <w:spacing w:after="40" w:before="40"/>
      </w:pPr>
      <w:r>
        <w:rPr>
          <w:rFonts w:ascii="Calibri" w:cs="Calibri" w:eastAsia="Calibri" w:hAnsi="Calibri"/>
          <w:color w:val="555555"/>
          <w:sz w:val="20"/>
          <w:szCs w:val="20"/>
        </w:rPr>
        <w:t xml:space="preserve">Normalize stress and triggers as a manageable part of life</w:t>
      </w:r>
    </w:p>
    <w:p>
      <w:pPr>
        <w:spacing w:after="0" w:before="80"/>
      </w:pPr>
      <w:r>
        <w:t xml:space="preserve"/>
      </w:r>
    </w:p>
    <w:p>
      <w:pPr>
        <w:spacing w:after="60" w:before="240"/>
      </w:pPr>
      <w:r>
        <w:rPr>
          <w:rFonts w:ascii="Georgia" w:cs="Georgia" w:eastAsia="Georgia" w:hAnsi="Georgia"/>
          <w:b/>
          <w:bCs/>
          <w:color w:val="E8566A"/>
          <w:sz w:val="22"/>
          <w:szCs w:val="22"/>
        </w:rPr>
        <w:t xml:space="preserve">EW 102  </w:t>
      </w:r>
      <w:r>
        <w:rPr>
          <w:rFonts w:ascii="Georgia" w:cs="Georgia" w:eastAsia="Georgia" w:hAnsi="Georgia"/>
          <w:b/>
          <w:bCs/>
          <w:i/>
          <w:iCs/>
          <w:color w:val="333333"/>
          <w:sz w:val="22"/>
          <w:szCs w:val="22"/>
        </w:rPr>
        <w:t xml:space="preserve">You Are Enough: A Sustainable Self-Care Plan</w:t>
      </w:r>
    </w:p>
    <w:p>
      <w:pPr>
        <w:spacing w:after="100" w:before="60"/>
      </w:pPr>
      <w:r>
        <w:rPr>
          <w:rFonts w:ascii="Calibri" w:cs="Calibri" w:eastAsia="Calibri" w:hAnsi="Calibri"/>
          <w:color w:val="555555"/>
          <w:sz w:val="21"/>
          <w:szCs w:val="21"/>
        </w:rPr>
        <w:t xml:space="preserve">It's one thing to tell teachers to take care of themselves. It's another to actually help them build a plan that works. Using mind/body coaching, vision boarding, and personalized tools, this session goes far beyond surface-level wellness advice.</w:t>
      </w:r>
    </w:p>
    <w:p>
      <w:pPr>
        <w:spacing w:after="100" w:before="60"/>
      </w:pPr>
      <w:r>
        <w:rPr>
          <w:rFonts w:ascii="Calibri" w:cs="Calibri" w:eastAsia="Calibri" w:hAnsi="Calibri"/>
          <w:color w:val="555555"/>
          <w:sz w:val="21"/>
          <w:szCs w:val="21"/>
        </w:rPr>
        <w:t xml:space="preserve">Educators co-create a sustainable self-care plan centered on finding aliveness and growing shame resilience.</w:t>
      </w:r>
    </w:p>
    <w:p>
      <w:pPr>
        <w:spacing w:after="0" w:before="80"/>
      </w:pPr>
      <w:r>
        <w:t xml:space="preserve"/>
      </w:r>
    </w:p>
    <w:p>
      <w:pPr>
        <w:spacing w:after="60" w:before="240"/>
      </w:pPr>
      <w:r>
        <w:rPr>
          <w:rFonts w:ascii="Georgia" w:cs="Georgia" w:eastAsia="Georgia" w:hAnsi="Georgia"/>
          <w:b/>
          <w:bCs/>
          <w:color w:val="E8566A"/>
          <w:sz w:val="22"/>
          <w:szCs w:val="22"/>
        </w:rPr>
        <w:t xml:space="preserve">EW 103  </w:t>
      </w:r>
      <w:r>
        <w:rPr>
          <w:rFonts w:ascii="Georgia" w:cs="Georgia" w:eastAsia="Georgia" w:hAnsi="Georgia"/>
          <w:b/>
          <w:bCs/>
          <w:i/>
          <w:iCs/>
          <w:color w:val="333333"/>
          <w:sz w:val="22"/>
          <w:szCs w:val="22"/>
        </w:rPr>
        <w:t xml:space="preserve">It's OK to Not Be OK: Resourcing for Exhausted Educators</w:t>
      </w:r>
    </w:p>
    <w:p>
      <w:pPr>
        <w:spacing w:after="100" w:before="60"/>
      </w:pPr>
      <w:r>
        <w:rPr>
          <w:rFonts w:ascii="Calibri" w:cs="Calibri" w:eastAsia="Calibri" w:hAnsi="Calibri"/>
          <w:color w:val="555555"/>
          <w:sz w:val="21"/>
          <w:szCs w:val="21"/>
        </w:rPr>
        <w:t xml:space="preserve">For teachers navigating burnout, compassion fatigue, or secondary trauma, this session identifies the individual, interpersonal, and systemic forces at play — then builds a personalized container of support.</w:t>
      </w:r>
    </w:p>
    <w:p>
      <w:pPr>
        <w:spacing w:after="100" w:before="60"/>
      </w:pPr>
      <w:r>
        <w:rPr>
          <w:rFonts w:ascii="Calibri" w:cs="Calibri" w:eastAsia="Calibri" w:hAnsi="Calibri"/>
          <w:color w:val="555555"/>
          <w:sz w:val="21"/>
          <w:szCs w:val="21"/>
        </w:rPr>
        <w:t xml:space="preserve">Participants discover who, what, and where helps them feel protected and nurtured, and clarify what they need to access those resources consistently.</w:t>
      </w:r>
    </w:p>
    <w:p>
      <w:pPr>
        <w:pBdr>
          <w:bottom w:val="single" w:color="DDDDDD" w:sz="2" w:space="1"/>
        </w:pBdr>
        <w:spacing w:after="200" w:before="200"/>
      </w:pPr>
      <w:r>
        <w:t xml:space="preserve"/>
      </w:r>
    </w:p>
    <w:p>
      <w:pPr>
        <w:pBdr>
          <w:bottom w:val="single" w:color="E8566A" w:sz="6" w:space="6"/>
        </w:pBdr>
        <w:spacing w:after="80" w:before="360"/>
      </w:pPr>
      <w:r>
        <w:rPr>
          <w:rFonts w:ascii="Georgia" w:cs="Georgia" w:eastAsia="Georgia" w:hAnsi="Georgia"/>
          <w:b/>
          <w:bCs/>
          <w:color w:val="2D5FA6"/>
          <w:sz w:val="28"/>
          <w:szCs w:val="28"/>
        </w:rPr>
        <w:t xml:space="preserve">NUTRITION WORKSHOPS</w:t>
      </w:r>
    </w:p>
    <w:p>
      <w:pPr>
        <w:spacing w:after="0" w:before="60"/>
      </w:pPr>
      <w:r>
        <w:t xml:space="preserve"/>
      </w:r>
    </w:p>
    <w:p>
      <w:pPr>
        <w:spacing w:after="60" w:before="240"/>
      </w:pPr>
      <w:r>
        <w:rPr>
          <w:rFonts w:ascii="Georgia" w:cs="Georgia" w:eastAsia="Georgia" w:hAnsi="Georgia"/>
          <w:b/>
          <w:bCs/>
          <w:color w:val="E8566A"/>
          <w:sz w:val="22"/>
          <w:szCs w:val="22"/>
        </w:rPr>
        <w:t xml:space="preserve">NW 101  </w:t>
      </w:r>
      <w:r>
        <w:rPr>
          <w:rFonts w:ascii="Georgia" w:cs="Georgia" w:eastAsia="Georgia" w:hAnsi="Georgia"/>
          <w:b/>
          <w:bCs/>
          <w:i/>
          <w:iCs/>
          <w:color w:val="333333"/>
          <w:sz w:val="22"/>
          <w:szCs w:val="22"/>
        </w:rPr>
        <w:t xml:space="preserve">Mindful Eating Exercise</w:t>
      </w:r>
    </w:p>
    <w:p>
      <w:pPr>
        <w:spacing w:after="100" w:before="60"/>
      </w:pPr>
      <w:r>
        <w:rPr>
          <w:rFonts w:ascii="Calibri" w:cs="Calibri" w:eastAsia="Calibri" w:hAnsi="Calibri"/>
          <w:color w:val="555555"/>
          <w:sz w:val="21"/>
          <w:szCs w:val="21"/>
        </w:rPr>
        <w:t xml:space="preserve">A short, grounding practice to reconnect with eating as a daily act of self-care. Participants begin with a somatic regulation exercise to support digestion, then engage in a guided mindful eating experience. A small snack is provided. </w:t>
      </w:r>
      <w:r>
        <w:rPr>
          <w:rFonts w:ascii="Calibri" w:cs="Calibri" w:eastAsia="Calibri" w:hAnsi="Calibri"/>
          <w:b/>
          <w:bCs/>
          <w:color w:val="E8566A"/>
          <w:sz w:val="21"/>
          <w:szCs w:val="21"/>
        </w:rPr>
        <w:t xml:space="preserve">Available in person only, paired with another session.</w:t>
      </w:r>
    </w:p>
    <w:p>
      <w:pPr>
        <w:spacing w:after="0" w:before="80"/>
      </w:pPr>
      <w:r>
        <w:t xml:space="preserve"/>
      </w:r>
    </w:p>
    <w:p>
      <w:pPr>
        <w:spacing w:after="60" w:before="240"/>
      </w:pPr>
      <w:r>
        <w:rPr>
          <w:rFonts w:ascii="Georgia" w:cs="Georgia" w:eastAsia="Georgia" w:hAnsi="Georgia"/>
          <w:b/>
          <w:bCs/>
          <w:color w:val="E8566A"/>
          <w:sz w:val="22"/>
          <w:szCs w:val="22"/>
        </w:rPr>
        <w:t xml:space="preserve">NW 102  </w:t>
      </w:r>
      <w:r>
        <w:rPr>
          <w:rFonts w:ascii="Georgia" w:cs="Georgia" w:eastAsia="Georgia" w:hAnsi="Georgia"/>
          <w:b/>
          <w:bCs/>
          <w:i/>
          <w:iCs/>
          <w:color w:val="333333"/>
          <w:sz w:val="22"/>
          <w:szCs w:val="22"/>
        </w:rPr>
        <w:t xml:space="preserve">Nutrition &amp; Mental Health: Nourishing the Mind</w:t>
      </w:r>
    </w:p>
    <w:p>
      <w:pPr>
        <w:spacing w:after="100" w:before="60"/>
      </w:pPr>
      <w:r>
        <w:rPr>
          <w:rFonts w:ascii="Calibri" w:cs="Calibri" w:eastAsia="Calibri" w:hAnsi="Calibri"/>
          <w:color w:val="555555"/>
          <w:sz w:val="21"/>
          <w:szCs w:val="21"/>
        </w:rPr>
        <w:t xml:space="preserve">This session explores the science connecting what we eat to how we feel — including the gut-brain axis and how specific nutrients influence anxiety and depression. Participants gain a practical understanding of balanced nutrition, learn to recognize and reject diet culture, and begin building healthier eating patterns.</w:t>
      </w:r>
    </w:p>
    <w:p>
      <w:pPr>
        <w:spacing w:after="0" w:before="80"/>
      </w:pPr>
      <w:r>
        <w:t xml:space="preserve"/>
      </w:r>
    </w:p>
    <w:p>
      <w:pPr>
        <w:spacing w:after="60" w:before="240"/>
      </w:pPr>
      <w:r>
        <w:rPr>
          <w:rFonts w:ascii="Georgia" w:cs="Georgia" w:eastAsia="Georgia" w:hAnsi="Georgia"/>
          <w:b/>
          <w:bCs/>
          <w:color w:val="E8566A"/>
          <w:sz w:val="22"/>
          <w:szCs w:val="22"/>
        </w:rPr>
        <w:t xml:space="preserve">NW 103  </w:t>
      </w:r>
      <w:r>
        <w:rPr>
          <w:rFonts w:ascii="Georgia" w:cs="Georgia" w:eastAsia="Georgia" w:hAnsi="Georgia"/>
          <w:b/>
          <w:bCs/>
          <w:i/>
          <w:iCs/>
          <w:color w:val="333333"/>
          <w:sz w:val="22"/>
          <w:szCs w:val="22"/>
        </w:rPr>
        <w:t xml:space="preserve">Soothing Your Nervous System with Mood-Boosting Foods</w:t>
      </w:r>
    </w:p>
    <w:p>
      <w:pPr>
        <w:spacing w:after="100" w:before="60"/>
      </w:pPr>
      <w:r>
        <w:rPr>
          <w:rFonts w:ascii="Calibri" w:cs="Calibri" w:eastAsia="Calibri" w:hAnsi="Calibri"/>
          <w:color w:val="555555"/>
          <w:sz w:val="21"/>
          <w:szCs w:val="21"/>
        </w:rPr>
        <w:t xml:space="preserve">A deeper look at how specific foods and nutrients affect the nervous system and support emotional well-being. Participants learn which dietary patterns promote mental health and build a personalized plan for incorporating mood-supporting foods into their daily lives.</w:t>
      </w:r>
    </w:p>
    <w:p>
      <w:pPr>
        <w:spacing w:after="0" w:before="80"/>
      </w:pPr>
      <w:r>
        <w:t xml:space="preserve"/>
      </w:r>
    </w:p>
    <w:p>
      <w:pPr>
        <w:spacing w:after="60" w:before="240"/>
      </w:pPr>
      <w:r>
        <w:rPr>
          <w:rFonts w:ascii="Georgia" w:cs="Georgia" w:eastAsia="Georgia" w:hAnsi="Georgia"/>
          <w:b/>
          <w:bCs/>
          <w:color w:val="E8566A"/>
          <w:sz w:val="22"/>
          <w:szCs w:val="22"/>
        </w:rPr>
        <w:t xml:space="preserve">NW 104  </w:t>
      </w:r>
      <w:r>
        <w:rPr>
          <w:rFonts w:ascii="Georgia" w:cs="Georgia" w:eastAsia="Georgia" w:hAnsi="Georgia"/>
          <w:b/>
          <w:bCs/>
          <w:i/>
          <w:iCs/>
          <w:color w:val="333333"/>
          <w:sz w:val="22"/>
          <w:szCs w:val="22"/>
        </w:rPr>
        <w:t xml:space="preserve">Practical Shopping &amp; Meal Planning</w:t>
      </w:r>
    </w:p>
    <w:p>
      <w:pPr>
        <w:spacing w:after="100" w:before="60"/>
      </w:pPr>
      <w:r>
        <w:rPr>
          <w:rFonts w:ascii="Calibri" w:cs="Calibri" w:eastAsia="Calibri" w:hAnsi="Calibri"/>
          <w:color w:val="555555"/>
          <w:sz w:val="21"/>
          <w:szCs w:val="21"/>
        </w:rPr>
        <w:t xml:space="preserve">The gap between wanting to eat well and actually doing it often happens before anyone sets foot in the kitchen. This workshop bridges that gap with actionable strategies: building organized grocery lists, navigating supermarket aisles with intention, and building weekly meal plans that are balanced, sustainable, and realistic.</w:t>
      </w:r>
    </w:p>
    <w:p>
      <w:pPr>
        <w:spacing w:after="0" w:before="80"/>
      </w:pPr>
      <w:r>
        <w:t xml:space="preserve"/>
      </w:r>
    </w:p>
    <w:p>
      <w:pPr>
        <w:spacing w:after="60" w:before="240"/>
      </w:pPr>
      <w:r>
        <w:rPr>
          <w:rFonts w:ascii="Georgia" w:cs="Georgia" w:eastAsia="Georgia" w:hAnsi="Georgia"/>
          <w:b/>
          <w:bCs/>
          <w:color w:val="E8566A"/>
          <w:sz w:val="22"/>
          <w:szCs w:val="22"/>
        </w:rPr>
        <w:t xml:space="preserve">NW 105  </w:t>
      </w:r>
      <w:r>
        <w:rPr>
          <w:rFonts w:ascii="Georgia" w:cs="Georgia" w:eastAsia="Georgia" w:hAnsi="Georgia"/>
          <w:b/>
          <w:bCs/>
          <w:i/>
          <w:iCs/>
          <w:color w:val="333333"/>
          <w:sz w:val="22"/>
          <w:szCs w:val="22"/>
        </w:rPr>
        <w:t xml:space="preserve">Supporting Your Mental Health Without Sacrificing Pleasure</w:t>
      </w:r>
    </w:p>
    <w:p>
      <w:pPr>
        <w:spacing w:after="100" w:before="60"/>
      </w:pPr>
      <w:r>
        <w:rPr>
          <w:rFonts w:ascii="Calibri" w:cs="Calibri" w:eastAsia="Calibri" w:hAnsi="Calibri"/>
          <w:color w:val="555555"/>
          <w:sz w:val="21"/>
          <w:szCs w:val="21"/>
        </w:rPr>
        <w:t xml:space="preserve">Healthy eating should never mean restriction or shame. This session helps participants build a positive, sustainable relationship with food — one that honors both their health goals and the pleasure and cultural significance of eating.</w:t>
      </w:r>
    </w:p>
    <w:p>
      <w:pPr>
        <w:spacing w:after="100" w:before="60"/>
      </w:pPr>
      <w:r>
        <w:rPr>
          <w:rFonts w:ascii="Calibri" w:cs="Calibri" w:eastAsia="Calibri" w:hAnsi="Calibri"/>
          <w:color w:val="555555"/>
          <w:sz w:val="21"/>
          <w:szCs w:val="21"/>
        </w:rPr>
        <w:t xml:space="preserve">An optional add-on focuses on keeping cultural foods central to the diet while making thoughtful adjustments to frequency and preparation.</w:t>
      </w:r>
    </w:p>
    <w:p>
      <w:pPr>
        <w:pBdr>
          <w:bottom w:val="single" w:color="DDDDDD" w:sz="2" w:space="1"/>
        </w:pBdr>
        <w:spacing w:after="200" w:before="200"/>
      </w:pPr>
      <w:r>
        <w:t xml:space="preserve"/>
      </w:r>
    </w:p>
    <w:p>
      <w:pPr>
        <w:pBdr>
          <w:bottom w:val="single" w:color="E8566A" w:sz="6" w:space="6"/>
        </w:pBdr>
        <w:spacing w:after="80" w:before="360"/>
      </w:pPr>
      <w:r>
        <w:rPr>
          <w:rFonts w:ascii="Georgia" w:cs="Georgia" w:eastAsia="Georgia" w:hAnsi="Georgia"/>
          <w:b/>
          <w:bCs/>
          <w:color w:val="2D5FA6"/>
          <w:sz w:val="28"/>
          <w:szCs w:val="28"/>
        </w:rPr>
        <w:t xml:space="preserve">DEI WORKSHOPS</w:t>
      </w:r>
    </w:p>
    <w:p>
      <w:pPr>
        <w:spacing w:after="0" w:before="60"/>
      </w:pPr>
      <w:r>
        <w:t xml:space="preserve"/>
      </w:r>
    </w:p>
    <w:p>
      <w:pPr>
        <w:spacing w:after="60" w:before="240"/>
      </w:pPr>
      <w:r>
        <w:rPr>
          <w:rFonts w:ascii="Georgia" w:cs="Georgia" w:eastAsia="Georgia" w:hAnsi="Georgia"/>
          <w:b/>
          <w:bCs/>
          <w:color w:val="E8566A"/>
          <w:sz w:val="22"/>
          <w:szCs w:val="22"/>
        </w:rPr>
        <w:t xml:space="preserve">DEI 101  </w:t>
      </w:r>
      <w:r>
        <w:rPr>
          <w:rFonts w:ascii="Georgia" w:cs="Georgia" w:eastAsia="Georgia" w:hAnsi="Georgia"/>
          <w:b/>
          <w:bCs/>
          <w:i/>
          <w:iCs/>
          <w:color w:val="333333"/>
          <w:sz w:val="22"/>
          <w:szCs w:val="22"/>
        </w:rPr>
        <w:t xml:space="preserve">A Mindful Approach to Anti-Racism</w:t>
      </w:r>
    </w:p>
    <w:p>
      <w:pPr>
        <w:spacing w:after="100" w:before="60"/>
      </w:pPr>
      <w:r>
        <w:rPr>
          <w:rFonts w:ascii="Calibri" w:cs="Calibri" w:eastAsia="Calibri" w:hAnsi="Calibri"/>
          <w:color w:val="555555"/>
          <w:sz w:val="21"/>
          <w:szCs w:val="21"/>
        </w:rPr>
        <w:t xml:space="preserve">Led by TNP facilitator Dr. Dana L. Collins — licensed psychologist, mindfulness meditation teacher, and researcher — this presentation-style session addresses racial trauma: its causes, signs, and personal impact on BIPOC individuals and communities.</w:t>
      </w:r>
    </w:p>
    <w:p>
      <w:pPr>
        <w:spacing w:after="100" w:before="60"/>
      </w:pPr>
      <w:r>
        <w:rPr>
          <w:rFonts w:ascii="Calibri" w:cs="Calibri" w:eastAsia="Calibri" w:hAnsi="Calibri"/>
          <w:color w:val="555555"/>
          <w:sz w:val="21"/>
          <w:szCs w:val="21"/>
        </w:rPr>
        <w:t xml:space="preserve">Participants learn to recognize racial trauma in themselves and others, and practice research-backed mindfulness exercises designed to restore well-being and resilience.</w:t>
      </w:r>
    </w:p>
    <w:p>
      <w:pPr>
        <w:spacing w:after="0" w:before="80"/>
      </w:pPr>
      <w:r>
        <w:t xml:space="preserve"/>
      </w:r>
    </w:p>
    <w:p>
      <w:pPr>
        <w:spacing w:after="60" w:before="240"/>
      </w:pPr>
      <w:r>
        <w:rPr>
          <w:rFonts w:ascii="Georgia" w:cs="Georgia" w:eastAsia="Georgia" w:hAnsi="Georgia"/>
          <w:b/>
          <w:bCs/>
          <w:color w:val="E8566A"/>
          <w:sz w:val="22"/>
          <w:szCs w:val="22"/>
        </w:rPr>
        <w:t xml:space="preserve">DEI 102  </w:t>
      </w:r>
      <w:r>
        <w:rPr>
          <w:rFonts w:ascii="Georgia" w:cs="Georgia" w:eastAsia="Georgia" w:hAnsi="Georgia"/>
          <w:b/>
          <w:bCs/>
          <w:i/>
          <w:iCs/>
          <w:color w:val="333333"/>
          <w:sz w:val="22"/>
          <w:szCs w:val="22"/>
        </w:rPr>
        <w:t xml:space="preserve">Cultivating Inclusivity: A Mindful Exploration of Bias Awareness</w:t>
      </w:r>
    </w:p>
    <w:p>
      <w:pPr>
        <w:spacing w:after="100" w:before="60"/>
      </w:pPr>
      <w:r>
        <w:rPr>
          <w:rFonts w:ascii="Calibri" w:cs="Calibri" w:eastAsia="Calibri" w:hAnsi="Calibri"/>
          <w:color w:val="555555"/>
          <w:sz w:val="21"/>
          <w:szCs w:val="21"/>
        </w:rPr>
        <w:t xml:space="preserve">Through guided mindfulness exercises and interactive discussion, participants explore unconscious bias and deepen their awareness of how it shapes behavior and environments. The session fosters meaningful dialogue and equips individuals with an inclusive mindset they can apply in diverse settings.</w:t>
      </w:r>
    </w:p>
    <w:p>
      <w:pPr>
        <w:pBdr>
          <w:bottom w:val="single" w:color="DDDDDD" w:sz="2" w:space="1"/>
        </w:pBdr>
        <w:spacing w:after="200" w:before="200"/>
      </w:pPr>
      <w:r>
        <w:t xml:space="preserve"/>
      </w:r>
    </w:p>
    <w:p>
      <w:pPr>
        <w:pBdr>
          <w:bottom w:val="single" w:color="E8566A" w:sz="6" w:space="6"/>
        </w:pBdr>
        <w:spacing w:after="80" w:before="360"/>
      </w:pPr>
      <w:r>
        <w:rPr>
          <w:rFonts w:ascii="Georgia" w:cs="Georgia" w:eastAsia="Georgia" w:hAnsi="Georgia"/>
          <w:b/>
          <w:bCs/>
          <w:color w:val="2D5FA6"/>
          <w:sz w:val="28"/>
          <w:szCs w:val="28"/>
        </w:rPr>
        <w:t xml:space="preserve">WELLNESS SESSIONS</w:t>
      </w:r>
    </w:p>
    <w:p>
      <w:pPr>
        <w:spacing w:after="0" w:before="60"/>
      </w:pPr>
      <w:r>
        <w:t xml:space="preserve"/>
      </w:r>
    </w:p>
    <w:p>
      <w:pPr>
        <w:spacing w:after="120" w:before="0"/>
      </w:pPr>
      <w:r>
        <w:rPr>
          <w:rFonts w:ascii="Calibri" w:cs="Calibri" w:eastAsia="Calibri" w:hAnsi="Calibri"/>
          <w:i/>
          <w:iCs/>
          <w:color w:val="555555"/>
          <w:sz w:val="21"/>
          <w:szCs w:val="21"/>
        </w:rPr>
        <w:t xml:space="preserve">Movement and somatic experiences designed to regulate the nervous system, build community, and restore energy. All sessions are led by experienced TNP facilitators.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none"/>
              <w:bottom w:val="single" w:color="DDDDDD" w:sz="1"/>
              <w:right w:val="none"/>
            </w:tcBorders>
            <w:shd w:fill="EEF4FB" w:val="clear"/>
            <w:tcMar>
              <w:top w:type="dxa" w:w="120"/>
              <w:left w:type="dxa" w:w="160"/>
              <w:bottom w:type="dxa" w:w="120"/>
              <w:right w:type="dxa" w:w="120"/>
            </w:tcMar>
            <w:vAlign w:val="center"/>
          </w:tcPr>
          <w:p>
            <w:r>
              <w:rPr>
                <w:rFonts w:ascii="Calibri" w:cs="Calibri" w:eastAsia="Calibri" w:hAnsi="Calibri"/>
                <w:b/>
                <w:bCs/>
                <w:color w:val="2D5FA6"/>
                <w:sz w:val="20"/>
                <w:szCs w:val="20"/>
              </w:rPr>
              <w:t xml:space="preserve">Vinyasa Yoga</w:t>
            </w:r>
          </w:p>
        </w:tc>
        <w:tc>
          <w:tcPr>
            <w:tcW w:type="dxa" w:w="7160"/>
            <w:tcBorders>
              <w:top w:val="single" w:color="DDDDDD" w:sz="1"/>
              <w:left w:val="none"/>
              <w:bottom w:val="single" w:color="DDDDDD" w:sz="1"/>
              <w:right w:val="none"/>
            </w:tcBorders>
            <w:shd w:fill="EEF4FB" w:val="clear"/>
            <w:tcMar>
              <w:top w:type="dxa" w:w="120"/>
              <w:left w:type="dxa" w:w="160"/>
              <w:bottom w:type="dxa" w:w="120"/>
              <w:right w:type="dxa" w:w="160"/>
            </w:tcMar>
          </w:tcPr>
          <w:p>
            <w:r>
              <w:rPr>
                <w:rFonts w:ascii="Calibri" w:cs="Calibri" w:eastAsia="Calibri" w:hAnsi="Calibri"/>
                <w:color w:val="555555"/>
                <w:sz w:val="20"/>
                <w:szCs w:val="20"/>
              </w:rPr>
              <w:t xml:space="preserve">An athletic, music-driven yoga class that builds internal and physical strength. Flowing sequences explore mind reactivity and cultivate resilience — on and off the mat.</w:t>
            </w:r>
          </w:p>
        </w:tc>
      </w:tr>
      <w:tr>
        <w:tc>
          <w:tcPr>
            <w:tcW w:type="dxa" w:w="2200"/>
            <w:tcBorders>
              <w:top w:val="single" w:color="DDDDDD" w:sz="1"/>
              <w:left w:val="none"/>
              <w:bottom w:val="single" w:color="DDDDDD" w:sz="1"/>
              <w:right w:val="none"/>
            </w:tcBorders>
            <w:shd w:fill="FFFFFF" w:val="clear"/>
            <w:tcMar>
              <w:top w:type="dxa" w:w="120"/>
              <w:left w:type="dxa" w:w="160"/>
              <w:bottom w:type="dxa" w:w="120"/>
              <w:right w:type="dxa" w:w="120"/>
            </w:tcMar>
            <w:vAlign w:val="center"/>
          </w:tcPr>
          <w:p>
            <w:r>
              <w:rPr>
                <w:rFonts w:ascii="Calibri" w:cs="Calibri" w:eastAsia="Calibri" w:hAnsi="Calibri"/>
                <w:b/>
                <w:bCs/>
                <w:color w:val="2D5FA6"/>
                <w:sz w:val="20"/>
                <w:szCs w:val="20"/>
              </w:rPr>
              <w:t xml:space="preserve">Restorative Yoga</w:t>
            </w:r>
          </w:p>
        </w:tc>
        <w:tc>
          <w:tcPr>
            <w:tcW w:type="dxa" w:w="7160"/>
            <w:tcBorders>
              <w:top w:val="single" w:color="DDDDDD" w:sz="1"/>
              <w:left w:val="none"/>
              <w:bottom w:val="single" w:color="DDDDDD" w:sz="1"/>
              <w:right w:val="none"/>
            </w:tcBorders>
            <w:shd w:fill="FFFFFF" w:val="clear"/>
            <w:tcMar>
              <w:top w:type="dxa" w:w="120"/>
              <w:left w:type="dxa" w:w="160"/>
              <w:bottom w:type="dxa" w:w="120"/>
              <w:right w:type="dxa" w:w="160"/>
            </w:tcMar>
          </w:tcPr>
          <w:p>
            <w:r>
              <w:rPr>
                <w:rFonts w:ascii="Calibri" w:cs="Calibri" w:eastAsia="Calibri" w:hAnsi="Calibri"/>
                <w:color w:val="555555"/>
                <w:sz w:val="20"/>
                <w:szCs w:val="20"/>
              </w:rPr>
              <w:t xml:space="preserve">A gentle, minimal-movement practice focused on deep rest and restoration. Poses are designed to nurture both body and mind, guided by an experienced facilitator.</w:t>
            </w:r>
          </w:p>
        </w:tc>
      </w:tr>
      <w:tr>
        <w:tc>
          <w:tcPr>
            <w:tcW w:type="dxa" w:w="2200"/>
            <w:tcBorders>
              <w:top w:val="single" w:color="DDDDDD" w:sz="1"/>
              <w:left w:val="none"/>
              <w:bottom w:val="single" w:color="DDDDDD" w:sz="1"/>
              <w:right w:val="none"/>
            </w:tcBorders>
            <w:shd w:fill="EEF4FB" w:val="clear"/>
            <w:tcMar>
              <w:top w:type="dxa" w:w="120"/>
              <w:left w:type="dxa" w:w="160"/>
              <w:bottom w:type="dxa" w:w="120"/>
              <w:right w:type="dxa" w:w="120"/>
            </w:tcMar>
            <w:vAlign w:val="center"/>
          </w:tcPr>
          <w:p>
            <w:r>
              <w:rPr>
                <w:rFonts w:ascii="Calibri" w:cs="Calibri" w:eastAsia="Calibri" w:hAnsi="Calibri"/>
                <w:b/>
                <w:bCs/>
                <w:color w:val="2D5FA6"/>
                <w:sz w:val="20"/>
                <w:szCs w:val="20"/>
              </w:rPr>
              <w:t xml:space="preserve">Mat Pilates</w:t>
            </w:r>
          </w:p>
        </w:tc>
        <w:tc>
          <w:tcPr>
            <w:tcW w:type="dxa" w:w="7160"/>
            <w:tcBorders>
              <w:top w:val="single" w:color="DDDDDD" w:sz="1"/>
              <w:left w:val="none"/>
              <w:bottom w:val="single" w:color="DDDDDD" w:sz="1"/>
              <w:right w:val="none"/>
            </w:tcBorders>
            <w:shd w:fill="EEF4FB" w:val="clear"/>
            <w:tcMar>
              <w:top w:type="dxa" w:w="120"/>
              <w:left w:type="dxa" w:w="160"/>
              <w:bottom w:type="dxa" w:w="120"/>
              <w:right w:type="dxa" w:w="160"/>
            </w:tcMar>
          </w:tcPr>
          <w:p>
            <w:r>
              <w:rPr>
                <w:rFonts w:ascii="Calibri" w:cs="Calibri" w:eastAsia="Calibri" w:hAnsi="Calibri"/>
                <w:color w:val="555555"/>
                <w:sz w:val="20"/>
                <w:szCs w:val="20"/>
              </w:rPr>
              <w:t xml:space="preserve">Dynamic Pilates to energizing music, with space to personalize your practice. Builds inner and physical strength and develops resilience and balance.</w:t>
            </w:r>
          </w:p>
        </w:tc>
      </w:tr>
      <w:tr>
        <w:tc>
          <w:tcPr>
            <w:tcW w:type="dxa" w:w="2200"/>
            <w:tcBorders>
              <w:top w:val="single" w:color="DDDDDD" w:sz="1"/>
              <w:left w:val="none"/>
              <w:bottom w:val="single" w:color="DDDDDD" w:sz="1"/>
              <w:right w:val="none"/>
            </w:tcBorders>
            <w:shd w:fill="FFFFFF" w:val="clear"/>
            <w:tcMar>
              <w:top w:type="dxa" w:w="120"/>
              <w:left w:type="dxa" w:w="160"/>
              <w:bottom w:type="dxa" w:w="120"/>
              <w:right w:type="dxa" w:w="120"/>
            </w:tcMar>
            <w:vAlign w:val="center"/>
          </w:tcPr>
          <w:p>
            <w:r>
              <w:rPr>
                <w:rFonts w:ascii="Calibri" w:cs="Calibri" w:eastAsia="Calibri" w:hAnsi="Calibri"/>
                <w:b/>
                <w:bCs/>
                <w:color w:val="2D5FA6"/>
                <w:sz w:val="20"/>
                <w:szCs w:val="20"/>
              </w:rPr>
              <w:t xml:space="preserve">Zumba / Dance</w:t>
            </w:r>
          </w:p>
        </w:tc>
        <w:tc>
          <w:tcPr>
            <w:tcW w:type="dxa" w:w="7160"/>
            <w:tcBorders>
              <w:top w:val="single" w:color="DDDDDD" w:sz="1"/>
              <w:left w:val="none"/>
              <w:bottom w:val="single" w:color="DDDDDD" w:sz="1"/>
              <w:right w:val="none"/>
            </w:tcBorders>
            <w:shd w:fill="FFFFFF" w:val="clear"/>
            <w:tcMar>
              <w:top w:type="dxa" w:w="120"/>
              <w:left w:type="dxa" w:w="160"/>
              <w:bottom w:type="dxa" w:w="120"/>
              <w:right w:type="dxa" w:w="160"/>
            </w:tcMar>
          </w:tcPr>
          <w:p>
            <w:r>
              <w:rPr>
                <w:rFonts w:ascii="Calibri" w:cs="Calibri" w:eastAsia="Calibri" w:hAnsi="Calibri"/>
                <w:color w:val="555555"/>
                <w:sz w:val="20"/>
                <w:szCs w:val="20"/>
              </w:rPr>
              <w:t xml:space="preserve">High-energy movement to pulsating rhythms — a joyful way to release tension stored in fight-or-flight responses, elevate mood, and build community.</w:t>
            </w:r>
          </w:p>
        </w:tc>
      </w:tr>
      <w:tr>
        <w:tc>
          <w:tcPr>
            <w:tcW w:type="dxa" w:w="2200"/>
            <w:tcBorders>
              <w:top w:val="single" w:color="DDDDDD" w:sz="1"/>
              <w:left w:val="none"/>
              <w:bottom w:val="single" w:color="DDDDDD" w:sz="1"/>
              <w:right w:val="none"/>
            </w:tcBorders>
            <w:shd w:fill="EEF4FB" w:val="clear"/>
            <w:tcMar>
              <w:top w:type="dxa" w:w="120"/>
              <w:left w:type="dxa" w:w="160"/>
              <w:bottom w:type="dxa" w:w="120"/>
              <w:right w:type="dxa" w:w="120"/>
            </w:tcMar>
            <w:vAlign w:val="center"/>
          </w:tcPr>
          <w:p>
            <w:r>
              <w:rPr>
                <w:rFonts w:ascii="Calibri" w:cs="Calibri" w:eastAsia="Calibri" w:hAnsi="Calibri"/>
                <w:b/>
                <w:bCs/>
                <w:color w:val="2D5FA6"/>
                <w:sz w:val="20"/>
                <w:szCs w:val="20"/>
              </w:rPr>
              <w:t xml:space="preserve">Sound Healing</w:t>
            </w:r>
          </w:p>
        </w:tc>
        <w:tc>
          <w:tcPr>
            <w:tcW w:type="dxa" w:w="7160"/>
            <w:tcBorders>
              <w:top w:val="single" w:color="DDDDDD" w:sz="1"/>
              <w:left w:val="none"/>
              <w:bottom w:val="single" w:color="DDDDDD" w:sz="1"/>
              <w:right w:val="none"/>
            </w:tcBorders>
            <w:shd w:fill="EEF4FB" w:val="clear"/>
            <w:tcMar>
              <w:top w:type="dxa" w:w="120"/>
              <w:left w:type="dxa" w:w="160"/>
              <w:bottom w:type="dxa" w:w="120"/>
              <w:right w:type="dxa" w:w="160"/>
            </w:tcMar>
          </w:tcPr>
          <w:p>
            <w:r>
              <w:rPr>
                <w:rFonts w:ascii="Calibri" w:cs="Calibri" w:eastAsia="Calibri" w:hAnsi="Calibri"/>
                <w:color w:val="555555"/>
                <w:sz w:val="20"/>
                <w:szCs w:val="20"/>
              </w:rPr>
              <w:t xml:space="preserve">A full-body listening experience using sound waves and music for gentle restoration. Perfect for new meditators. Participants sit, recline, or lie down throughout.</w:t>
            </w:r>
          </w:p>
        </w:tc>
      </w:tr>
    </w:tbl>
    <w:p>
      <w:pPr>
        <w:pBdr>
          <w:bottom w:val="single" w:color="DDDDDD" w:sz="2" w:space="1"/>
        </w:pBdr>
        <w:spacing w:after="200" w:before="200"/>
      </w:pPr>
      <w:r>
        <w:t xml:space="preserve"/>
      </w:r>
    </w:p>
    <w:p>
      <w:pPr>
        <w:pBdr>
          <w:top w:val="single" w:color="E8566A" w:sz="4" w:space="8"/>
          <w:bottom w:val="single" w:color="E8566A" w:sz="4" w:space="8"/>
        </w:pBdr>
        <w:spacing w:after="120" w:before="120"/>
        <w:jc w:val="center"/>
      </w:pPr>
      <w:r>
        <w:rPr>
          <w:rFonts w:ascii="Georgia" w:cs="Georgia" w:eastAsia="Georgia" w:hAnsi="Georgia"/>
          <w:b/>
          <w:bCs/>
          <w:i/>
          <w:iCs/>
          <w:color w:val="2D5FA6"/>
          <w:sz w:val="24"/>
          <w:szCs w:val="24"/>
        </w:rPr>
        <w:t xml:space="preserve">Ready to book? Contact TNP Wellness to build a program tailored to your community.</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3" w:space="6"/>
      </w:pBdr>
      <w:tabs>
        <w:tab w:val="right" w:pos="9360"/>
      </w:tabs>
      <w:spacing w:after="0" w:before="120"/>
    </w:pPr>
    <w:r>
      <w:rPr>
        <w:rFonts w:ascii="Calibri" w:cs="Calibri" w:eastAsia="Calibri" w:hAnsi="Calibri"/>
        <w:i/>
        <w:iCs/>
        <w:color w:val="555555"/>
        <w:sz w:val="17"/>
        <w:szCs w:val="17"/>
      </w:rPr>
      <w:t xml:space="preserve">All sessions available in person or virtually unless noted.</w:t>
    </w:r>
    <w:r>
      <w:rPr>
        <w:rFonts w:ascii="Calibri" w:cs="Calibri" w:eastAsia="Calibri" w:hAnsi="Calibri"/>
        <w:sz w:val="17"/>
        <w:szCs w:val="17"/>
      </w:rPr>
      <w:t xml:space="preserve">	</w:t>
    </w:r>
    <w:r>
      <w:rPr>
        <w:rFonts w:ascii="Calibri" w:cs="Calibri" w:eastAsia="Calibri" w:hAnsi="Calibri"/>
        <w:color w:val="555555"/>
        <w:sz w:val="17"/>
        <w:szCs w:val="17"/>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566A" w:sz="3" w:space="6"/>
      </w:pBdr>
      <w:spacing w:after="120" w:before="0"/>
      <w:jc w:val="right"/>
    </w:pPr>
    <w:r>
      <w:rPr>
        <w:rFonts w:ascii="Calibri" w:cs="Calibri" w:eastAsia="Calibri" w:hAnsi="Calibri"/>
        <w:i/>
        <w:iCs/>
        <w:color w:val="E8566A"/>
        <w:sz w:val="18"/>
        <w:szCs w:val="18"/>
      </w:rPr>
      <w:t xml:space="preserve">TNP Wellness — Program Catalog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2026-05-17T18:42:23.773Z</dcterms:created>
  <dcterms:modified xsi:type="dcterms:W3CDTF">2026-05-17T18:42:23.785Z</dcterms:modified>
</cp:coreProperties>
</file>

<file path=docProps/custom.xml><?xml version="1.0" encoding="utf-8"?>
<Properties xmlns="http://schemas.openxmlformats.org/officeDocument/2006/custom-properties" xmlns:vt="http://schemas.openxmlformats.org/officeDocument/2006/docPropsVTypes"/>
</file>